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577" w:tblpY="294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16"/>
        <w:gridCol w:w="5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916" w:type="dxa"/>
            <w:noWrap w:val="0"/>
            <w:vAlign w:val="center"/>
          </w:tcPr>
          <w:p>
            <w:pPr>
              <w:snapToGrid w:val="0"/>
              <w:spacing w:line="560" w:lineRule="atLeast"/>
              <w:jc w:val="left"/>
              <w:rPr>
                <w:rFonts w:hint="eastAsia" w:ascii="黑体" w:eastAsia="黑体"/>
                <w:sz w:val="32"/>
              </w:rPr>
            </w:pPr>
            <w:r>
              <w:rPr>
                <w:rFonts w:hint="eastAsia" w:ascii="黑体" w:eastAsia="黑体"/>
                <w:sz w:val="32"/>
              </w:rPr>
              <w:t>依申请公开</w:t>
            </w:r>
          </w:p>
        </w:tc>
        <w:tc>
          <w:tcPr>
            <w:tcW w:w="5277" w:type="dxa"/>
            <w:noWrap w:val="0"/>
            <w:vAlign w:val="center"/>
          </w:tcPr>
          <w:p>
            <w:pPr>
              <w:snapToGrid w:val="0"/>
              <w:spacing w:line="560" w:lineRule="atLeast"/>
              <w:jc w:val="right"/>
              <w:rPr>
                <w:rFonts w:eastAsia="仿宋_GB2312"/>
                <w:sz w:val="32"/>
              </w:rPr>
            </w:pPr>
            <w:r>
              <w:rPr>
                <w:rFonts w:hint="eastAsia" w:ascii="仿宋_GB2312" w:eastAsia="仿宋_GB2312"/>
                <w:sz w:val="32"/>
              </w:rPr>
              <w:t>佛府办函〔</w:t>
            </w:r>
            <w:r>
              <w:rPr>
                <w:rFonts w:ascii="仿宋_GB2312" w:eastAsia="仿宋_GB2312"/>
                <w:sz w:val="32"/>
              </w:rPr>
              <w:t>20</w:t>
            </w:r>
            <w:r>
              <w:rPr>
                <w:rFonts w:hint="eastAsia" w:ascii="仿宋_GB2312" w:hAnsi="宋体" w:eastAsia="仿宋_GB2312"/>
                <w:sz w:val="32"/>
                <w:szCs w:val="32"/>
              </w:rPr>
              <w:t>14</w:t>
            </w:r>
            <w:r>
              <w:rPr>
                <w:rFonts w:hint="eastAsia" w:ascii="仿宋_GB2312" w:eastAsia="仿宋_GB2312"/>
                <w:sz w:val="32"/>
              </w:rPr>
              <w:t>〕</w:t>
            </w:r>
            <w:r>
              <w:rPr>
                <w:rFonts w:hint="eastAsia" w:ascii="仿宋_GB2312" w:hAnsi="宋体" w:eastAsia="仿宋_GB2312"/>
                <w:sz w:val="32"/>
                <w:szCs w:val="32"/>
              </w:rPr>
              <w:t>440</w:t>
            </w:r>
            <w:r>
              <w:rPr>
                <w:rFonts w:hint="eastAsia" w:ascii="仿宋_GB2312" w:eastAsia="仿宋_GB2312"/>
                <w:sz w:val="32"/>
              </w:rPr>
              <w:t>号</w:t>
            </w:r>
          </w:p>
        </w:tc>
      </w:tr>
    </w:tbl>
    <w:p>
      <w:pPr>
        <w:snapToGrid w:val="0"/>
        <w:spacing w:line="560" w:lineRule="exact"/>
        <w:jc w:val="center"/>
        <w:rPr>
          <w:rFonts w:hint="eastAsia" w:ascii="方正小标宋简体" w:hAnsi="宋体" w:eastAsia="方正小标宋简体"/>
          <w:sz w:val="44"/>
          <w:szCs w:val="44"/>
        </w:rPr>
      </w:pPr>
    </w:p>
    <w:p>
      <w:pPr>
        <w:snapToGrid w:val="0"/>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mc:AlternateContent>
          <mc:Choice Requires="wps">
            <w:drawing>
              <wp:anchor distT="0" distB="0" distL="114300" distR="114300" simplePos="0" relativeHeight="251660288" behindDoc="0" locked="0" layoutInCell="0" allowOverlap="1">
                <wp:simplePos x="0" y="0"/>
                <wp:positionH relativeFrom="page">
                  <wp:posOffset>735965</wp:posOffset>
                </wp:positionH>
                <wp:positionV relativeFrom="page">
                  <wp:posOffset>9937115</wp:posOffset>
                </wp:positionV>
                <wp:extent cx="6083935" cy="0"/>
                <wp:effectExtent l="0" t="34925" r="12065" b="41275"/>
                <wp:wrapTopAndBottom/>
                <wp:docPr id="3" name="直接连接符 3"/>
                <wp:cNvGraphicFramePr/>
                <a:graphic xmlns:a="http://schemas.openxmlformats.org/drawingml/2006/main">
                  <a:graphicData uri="http://schemas.microsoft.com/office/word/2010/wordprocessingShape">
                    <wps:wsp>
                      <wps:cNvSpPr/>
                      <wps:spPr>
                        <a:xfrm>
                          <a:off x="0" y="0"/>
                          <a:ext cx="6083935" cy="0"/>
                        </a:xfrm>
                        <a:prstGeom prst="line">
                          <a:avLst/>
                        </a:prstGeom>
                        <a:ln w="698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95pt;margin-top:782.45pt;height:0pt;width:479.05pt;mso-position-horizontal-relative:page;mso-position-vertical-relative:page;mso-wrap-distance-bottom:0pt;mso-wrap-distance-top:0pt;z-index:251660288;mso-width-relative:page;mso-height-relative:page;" filled="f" stroked="t" coordsize="21600,21600" o:allowincell="f" o:gfxdata="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PL875rWAAAADgEAAA8AAAAAAAAA&#10;AQAgAAAAOAAAAGRycy9kb3ducmV2LnhtbFBLAQIUABQAAAAIAIdO4kD/zBem/QEAAOsDAAAOAAAA&#10;AAAAAAEAIAAAADsBAABkcnMvZTJvRG9jLnhtbFBLBQYAAAAABgAGAFkBAACqBQAAAAA=&#10;">
                <v:fill on="f" focussize="0,0"/>
                <v:stroke weight="5.5pt" color="#FF0000" linestyle="thinThick" joinstyle="round"/>
                <v:imagedata o:title=""/>
                <o:lock v:ext="edit" aspectratio="f"/>
                <w10:wrap type="topAndBottom"/>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1661312" behindDoc="0" locked="0" layoutInCell="0" allowOverlap="1">
                <wp:simplePos x="0" y="0"/>
                <wp:positionH relativeFrom="column">
                  <wp:posOffset>-274955</wp:posOffset>
                </wp:positionH>
                <wp:positionV relativeFrom="margin">
                  <wp:posOffset>445770</wp:posOffset>
                </wp:positionV>
                <wp:extent cx="6083935" cy="0"/>
                <wp:effectExtent l="0" t="34925" r="12065" b="41275"/>
                <wp:wrapTopAndBottom/>
                <wp:docPr id="4" name="直接连接符 4"/>
                <wp:cNvGraphicFramePr/>
                <a:graphic xmlns:a="http://schemas.openxmlformats.org/drawingml/2006/main">
                  <a:graphicData uri="http://schemas.microsoft.com/office/word/2010/wordprocessingShape">
                    <wps:wsp>
                      <wps:cNvSpPr/>
                      <wps:spPr>
                        <a:xfrm>
                          <a:off x="0" y="0"/>
                          <a:ext cx="6083935" cy="0"/>
                        </a:xfrm>
                        <a:prstGeom prst="line">
                          <a:avLst/>
                        </a:prstGeom>
                        <a:ln w="698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5pt;margin-top:35.1pt;height:0pt;width:479.05pt;mso-position-vertical-relative:margin;mso-wrap-distance-bottom:0pt;mso-wrap-distance-top:0pt;z-index:251661312;mso-width-relative:page;mso-height-relative:page;" filled="f" stroked="t" coordsize="21600,21600" o:allowincell="f" o:gfxdata="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Mj2oDXAAAACQEAAA8AAAAAAAAA&#10;AQAgAAAAOAAAAGRycy9kb3ducmV2LnhtbFBLAQIUABQAAAAIAIdO4kDEn/8P/AEAAOsDAAAOAAAA&#10;AAAAAAEAIAAAADwBAABkcnMvZTJvRG9jLnhtbFBLBQYAAAAABgAGAFkBAACqBQAAAAA=&#10;">
                <v:fill on="f" focussize="0,0"/>
                <v:stroke weight="5.5pt" color="#FF0000" linestyle="thickThin" joinstyle="round"/>
                <v:imagedata o:title=""/>
                <o:lock v:ext="edit" aspectratio="f"/>
                <w10:wrap type="topAndBottom"/>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1659264" behindDoc="0" locked="0" layoutInCell="0" allowOverlap="1">
                <wp:simplePos x="0" y="0"/>
                <wp:positionH relativeFrom="page">
                  <wp:posOffset>720090</wp:posOffset>
                </wp:positionH>
                <wp:positionV relativeFrom="margin">
                  <wp:posOffset>-360045</wp:posOffset>
                </wp:positionV>
                <wp:extent cx="6120130" cy="855345"/>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6120130" cy="855345"/>
                        </a:xfrm>
                        <a:prstGeom prst="rect">
                          <a:avLst/>
                        </a:prstGeom>
                        <a:noFill/>
                        <a:ln>
                          <a:noFill/>
                        </a:ln>
                      </wps:spPr>
                      <wps:txbx>
                        <w:txbxContent>
                          <w:p>
                            <w:pPr>
                              <w:spacing w:line="1020" w:lineRule="exact"/>
                              <w:ind w:left="420" w:leftChars="200" w:right="420" w:rightChars="200"/>
                              <w:jc w:val="distribute"/>
                              <w:rPr>
                                <w:rFonts w:hint="eastAsia" w:ascii="方正小标宋简体" w:eastAsia="方正小标宋简体"/>
                                <w:color w:val="FF0000"/>
                                <w:sz w:val="72"/>
                                <w:szCs w:val="72"/>
                              </w:rPr>
                            </w:pPr>
                            <w:r>
                              <w:rPr>
                                <w:rFonts w:hint="eastAsia" w:ascii="方正小标宋简体" w:eastAsia="方正小标宋简体"/>
                                <w:color w:val="FF0000"/>
                                <w:sz w:val="72"/>
                                <w:szCs w:val="72"/>
                              </w:rPr>
                              <w:t>佛山市人民政府办公室</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56.7pt;margin-top:-28.35pt;height:67.35pt;width:481.9pt;mso-position-horizontal-relative:page;mso-position-vertical-relative:margin;mso-wrap-distance-bottom:0pt;mso-wrap-distance-top:0pt;z-index:251659264;mso-width-relative:page;mso-height-relative:page;" filled="f" stroked="f" coordsize="21600,21600" o:allowincell="f" o:gfxdata="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P7T2u/aAAAACwEAAA8AAAAAAAAAAQAgAAAA&#10;OAAAAGRycy9kb3ducmV2LnhtbFBLAQIUABQAAAAIAIdO4kBw6+rSugEAAHIDAAAOAAAAAAAAAAEA&#10;IAAAAD8BAABkcnMvZTJvRG9jLnhtbFBLBQYAAAAABgAGAFkBAABrBQAAAAA=&#10;">
                <v:fill on="f" focussize="0,0"/>
                <v:stroke on="f"/>
                <v:imagedata o:title=""/>
                <o:lock v:ext="edit" aspectratio="f"/>
                <v:textbox inset="0mm,0mm,0mm,0mm">
                  <w:txbxContent>
                    <w:p>
                      <w:pPr>
                        <w:spacing w:line="1020" w:lineRule="exact"/>
                        <w:ind w:left="420" w:leftChars="200" w:right="420" w:rightChars="200"/>
                        <w:jc w:val="distribute"/>
                        <w:rPr>
                          <w:rFonts w:hint="eastAsia" w:ascii="方正小标宋简体" w:eastAsia="方正小标宋简体"/>
                          <w:color w:val="FF0000"/>
                          <w:sz w:val="72"/>
                          <w:szCs w:val="72"/>
                        </w:rPr>
                      </w:pPr>
                      <w:r>
                        <w:rPr>
                          <w:rFonts w:hint="eastAsia" w:ascii="方正小标宋简体" w:eastAsia="方正小标宋简体"/>
                          <w:color w:val="FF0000"/>
                          <w:sz w:val="72"/>
                          <w:szCs w:val="72"/>
                        </w:rPr>
                        <w:t>佛山市人民政府办公室</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rFonts w:hint="eastAsia"/>
                        </w:rPr>
                      </w:pPr>
                    </w:p>
                  </w:txbxContent>
                </v:textbox>
                <w10:wrap type="topAndBottom"/>
              </v:shape>
            </w:pict>
          </mc:Fallback>
        </mc:AlternateContent>
      </w:r>
      <w:r>
        <w:rPr>
          <w:rFonts w:hint="eastAsia" w:ascii="方正小标宋简体" w:eastAsia="方正小标宋简体"/>
          <w:sz w:val="44"/>
          <w:szCs w:val="44"/>
        </w:rPr>
        <w:t>佛山市人民政府办公室</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关于印发“十三五”规划编制工作方案的通知</w:t>
      </w:r>
      <w:bookmarkEnd w:id="0"/>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各区人民政府，市政府各部门、直属各机构：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《“十三五”规划编制工作方案》业经市人民政府同意，现印发给你们，请按照执行。</w:t>
      </w:r>
    </w:p>
    <w:p>
      <w:pPr>
        <w:spacing w:line="600" w:lineRule="exact"/>
        <w:ind w:firstLine="640" w:firstLineChars="200"/>
        <w:rPr>
          <w:rFonts w:hint="eastAsia" w:ascii="仿宋_GB2312" w:eastAsia="仿宋_GB2312"/>
          <w:sz w:val="32"/>
          <w:szCs w:val="32"/>
        </w:rPr>
      </w:pPr>
    </w:p>
    <w:p>
      <w:pPr>
        <w:spacing w:line="600" w:lineRule="exact"/>
        <w:rPr>
          <w:rFonts w:hint="eastAsia" w:ascii="仿宋_GB2312" w:eastAsia="仿宋_GB2312"/>
          <w:sz w:val="32"/>
          <w:szCs w:val="32"/>
        </w:rPr>
      </w:pPr>
    </w:p>
    <w:p>
      <w:pPr>
        <w:spacing w:line="560" w:lineRule="exact"/>
        <w:ind w:firstLine="4736" w:firstLineChars="1480"/>
        <w:rPr>
          <w:rFonts w:hint="eastAsia" w:ascii="仿宋_GB2312" w:eastAsia="仿宋_GB2312"/>
          <w:sz w:val="32"/>
          <w:szCs w:val="32"/>
        </w:rPr>
      </w:pPr>
      <w:r>
        <w:rPr>
          <w:rFonts w:hint="eastAsia" w:ascii="仿宋_GB2312" w:eastAsia="仿宋_GB2312"/>
          <w:sz w:val="32"/>
          <w:szCs w:val="32"/>
        </w:rPr>
        <w:t>佛山市人民政府办公室</w:t>
      </w:r>
    </w:p>
    <w:p>
      <w:pPr>
        <w:snapToGrid w:val="0"/>
        <w:spacing w:line="560" w:lineRule="exact"/>
        <w:ind w:right="1284"/>
        <w:jc w:val="right"/>
        <w:rPr>
          <w:rFonts w:hint="eastAsia" w:ascii="仿宋_GB2312" w:eastAsia="仿宋_GB2312"/>
          <w:spacing w:val="-6"/>
          <w:sz w:val="32"/>
        </w:rPr>
      </w:pPr>
      <w:r>
        <w:rPr>
          <w:rFonts w:hint="eastAsia" w:ascii="仿宋_GB2312" w:eastAsia="仿宋_GB2312"/>
          <w:spacing w:val="-6"/>
          <w:sz w:val="32"/>
        </w:rPr>
        <w:t>20</w:t>
      </w:r>
      <w:r>
        <w:rPr>
          <w:rFonts w:hint="eastAsia" w:ascii="仿宋_GB2312" w:hAnsi="宋体" w:eastAsia="仿宋_GB2312"/>
          <w:sz w:val="32"/>
          <w:szCs w:val="32"/>
        </w:rPr>
        <w:t>14</w:t>
      </w:r>
      <w:r>
        <w:rPr>
          <w:rFonts w:hint="eastAsia" w:ascii="仿宋_GB2312" w:eastAsia="仿宋_GB2312"/>
          <w:spacing w:val="-6"/>
          <w:sz w:val="32"/>
        </w:rPr>
        <w:t>年</w:t>
      </w:r>
      <w:r>
        <w:rPr>
          <w:rFonts w:hint="eastAsia" w:ascii="仿宋_GB2312" w:hAnsi="宋体" w:eastAsia="仿宋_GB2312"/>
          <w:sz w:val="32"/>
          <w:szCs w:val="32"/>
        </w:rPr>
        <w:t>7</w:t>
      </w:r>
      <w:r>
        <w:rPr>
          <w:rFonts w:hint="eastAsia" w:ascii="仿宋_GB2312" w:eastAsia="仿宋_GB2312"/>
          <w:spacing w:val="-6"/>
          <w:sz w:val="32"/>
        </w:rPr>
        <w:t>月</w:t>
      </w:r>
      <w:r>
        <w:rPr>
          <w:rFonts w:hint="eastAsia" w:ascii="仿宋_GB2312" w:hAnsi="宋体" w:eastAsia="仿宋_GB2312"/>
          <w:sz w:val="32"/>
          <w:szCs w:val="32"/>
        </w:rPr>
        <w:t>31</w:t>
      </w:r>
      <w:r>
        <w:rPr>
          <w:rFonts w:hint="eastAsia" w:ascii="仿宋_GB2312" w:eastAsia="仿宋_GB2312"/>
          <w:spacing w:val="-6"/>
          <w:sz w:val="32"/>
        </w:rPr>
        <w:t>日</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50" w:lineRule="exact"/>
        <w:jc w:val="center"/>
        <w:rPr>
          <w:rFonts w:hint="eastAsia" w:ascii="方正小标宋简体" w:eastAsia="方正小标宋简体"/>
          <w:sz w:val="44"/>
          <w:szCs w:val="44"/>
        </w:rPr>
      </w:pPr>
      <w:r>
        <w:rPr>
          <w:rFonts w:hint="eastAsia" w:ascii="方正小标宋简体" w:eastAsia="方正小标宋简体"/>
          <w:sz w:val="44"/>
          <w:szCs w:val="44"/>
        </w:rPr>
        <w:t>“十三五”规划编制工作方案</w:t>
      </w:r>
    </w:p>
    <w:p>
      <w:pPr>
        <w:spacing w:line="550" w:lineRule="exact"/>
        <w:jc w:val="center"/>
        <w:rPr>
          <w:rFonts w:hint="eastAsia" w:ascii="方正小标宋简体" w:eastAsia="方正小标宋简体"/>
          <w:sz w:val="44"/>
          <w:szCs w:val="44"/>
        </w:rPr>
      </w:pP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十三五”时期是我市实现全面建成小康社会奋斗目标的决胜时期，也是实施《珠江三角洲地区改革发展规划纲要（2008—2020年）》实现“九年大跨越”、建设“民富市强、幸福佛山”的关键时期。科学编制和实施好“十三五”规划，事关我市未来长远发展，对贯彻落实“三个定位，两个率先”总目标具有特殊重要的意义。为确保圆满完成编制任务，根据国家和省发展改革委的部署，结合我市实际，制订本工作方案。</w:t>
      </w:r>
    </w:p>
    <w:p>
      <w:pPr>
        <w:spacing w:line="550" w:lineRule="exact"/>
        <w:ind w:firstLine="640" w:firstLineChars="200"/>
        <w:rPr>
          <w:rFonts w:hint="eastAsia" w:ascii="黑体" w:eastAsia="黑体"/>
          <w:sz w:val="32"/>
          <w:szCs w:val="32"/>
        </w:rPr>
      </w:pPr>
      <w:r>
        <w:rPr>
          <w:rFonts w:hint="eastAsia" w:ascii="黑体" w:eastAsia="黑体"/>
          <w:sz w:val="32"/>
          <w:szCs w:val="32"/>
        </w:rPr>
        <w:t>一、指导思想</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高举中国特色社会主义伟大旗帜，以邓小平理论、“三个代表”重要思想、科学发展观为指导，贯彻落实党的十八大、十八届三中全会精神和省第十一次党代会、市第十一次党代会精神，紧紧围绕“三个定位、两个率先”总目标，理清发展思路，创新发展模式，全面深化改革，加快转型升级，确保编制出标准高、水平优、操作性强、符合我市发展实际的“十三五”规划。</w:t>
      </w:r>
    </w:p>
    <w:p>
      <w:pPr>
        <w:spacing w:line="550" w:lineRule="exact"/>
        <w:ind w:firstLine="640" w:firstLineChars="200"/>
        <w:rPr>
          <w:rFonts w:hint="eastAsia" w:ascii="黑体" w:eastAsia="黑体"/>
          <w:sz w:val="32"/>
          <w:szCs w:val="32"/>
        </w:rPr>
      </w:pPr>
      <w:r>
        <w:rPr>
          <w:rFonts w:hint="eastAsia" w:ascii="黑体" w:eastAsia="黑体"/>
          <w:sz w:val="32"/>
          <w:szCs w:val="32"/>
        </w:rPr>
        <w:t>二、编制原则</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（一）坚持率先全面建成小康社会。</w:t>
      </w:r>
      <w:r>
        <w:rPr>
          <w:rFonts w:hint="eastAsia" w:ascii="仿宋_GB2312" w:eastAsia="仿宋_GB2312"/>
          <w:sz w:val="32"/>
          <w:szCs w:val="32"/>
        </w:rPr>
        <w:t>要将率先全面建成小康社会融入到规划的各个方面，认真研究全面建成小康社会的目标要求，深入分析当前存在的不足和困难，科学制定指标体系，准确提出相应对策和措施。要坚持科学发展、以人为本，以创新驱动提高经济发展的内生动力，以引才引智推动发展方式的加快转变，全面推进环境治理和生态建设，大力保障和改善民生，更加注重维护社会公平正义，切实提高人民群众幸福感，确保在2017年圆满完成全面建成小康社会这一历史性任务。</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（二）坚持全面深化改革。</w:t>
      </w:r>
      <w:r>
        <w:rPr>
          <w:rFonts w:hint="eastAsia" w:ascii="仿宋_GB2312" w:eastAsia="仿宋_GB2312"/>
          <w:sz w:val="32"/>
          <w:szCs w:val="32"/>
        </w:rPr>
        <w:t>改革是推动发展的强大动力，要继续发扬我市敢为人先的改革魄力，走在全省、全国全面深化改革前列。编制“十三五”规划，要坚持先行先试，大胆改革创新，围绕发挥市场在资源配置中的决定性作用和更好发挥政府作用，理清政府职能，理顺政府和市场关系，不断释放改革红利。以行政管理体制改革为突破口，以经济和社会管理体制改革为切入点，推动重点领域和关键环节改革创新，营造国际化法治化营商环境。</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（三）坚持区域协调发展。</w:t>
      </w:r>
      <w:r>
        <w:rPr>
          <w:rFonts w:hint="eastAsia" w:ascii="仿宋_GB2312" w:eastAsia="仿宋_GB2312"/>
          <w:sz w:val="32"/>
          <w:szCs w:val="32"/>
        </w:rPr>
        <w:t>要把规划编制工作与破解区域协调发展的难题结合起来，统筹各区域协同发展，明确各主体功能区定位，实施更有针对性的区域政策，促进各种生产要素的合理流动和产业的合理布局，形成主体功能定位清晰，人口、经济、资源环境相互协调，基础设施、公共服务和人民生活水平差距不断缩小的区域协调发展格局。加强广佛肇紧密合作，深化拓展广佛同城，不断融入珠三角和泛珠三角一体化，充分发挥区域发展优势。</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（四）坚持加快转变发展方式。</w:t>
      </w:r>
      <w:r>
        <w:rPr>
          <w:rFonts w:hint="eastAsia" w:ascii="仿宋_GB2312" w:eastAsia="仿宋_GB2312"/>
          <w:sz w:val="32"/>
          <w:szCs w:val="32"/>
        </w:rPr>
        <w:t>要始终牢牢坚持以转变经济发展方式为主线，着力提高自主创新能力，大力发展先进制造业和战略性新兴产业，不断优化产业结构，实现经济发展方式由资源驱动向创新驱动转变。要始终牢牢坚持实施创新发展战略，坚持“产城人”和“产业、金融、科技”双融合，加快推动现代服务业做大做强，以城市升级带动产业升级，以第三产业的大发展带动第二产业的新发展，以人才的集聚带动科技的飞跃。</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（五）坚持更加注重改善民生。</w:t>
      </w:r>
      <w:r>
        <w:rPr>
          <w:rFonts w:hint="eastAsia" w:ascii="仿宋_GB2312" w:eastAsia="仿宋_GB2312"/>
          <w:sz w:val="32"/>
          <w:szCs w:val="32"/>
        </w:rPr>
        <w:t>把改善民生作为“十三五”规划编制工作的出发点和落脚点，加快分配制度改革，提高劳动报酬在初次分配中的比重，发挥二次收入分配的调节作用，缩小贫富差距，实现经济社会与改善民生协调发展。加大政府在社会事业、社会保障和公共管理等方面的投入，实现基本公共服务均等化。</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（六）坚持加强环境保护和生态建设。</w:t>
      </w:r>
      <w:r>
        <w:rPr>
          <w:rFonts w:hint="eastAsia" w:ascii="仿宋_GB2312" w:eastAsia="仿宋_GB2312"/>
          <w:sz w:val="32"/>
          <w:szCs w:val="32"/>
        </w:rPr>
        <w:t>要将加强环境保护和生态文明建设体现到规划编制的各个方面。继续加大环境保护力度，强化水、气、土壤等环境综合治理，大力发展绿色经济、循环经济、低碳经济，实现经济效益、社会效益与生态效益相统一。更加重视农村生态文明建设，开展农村生态环境治理，大力推进农村环境建设、村级工业区改造和优化村民住宅等。</w:t>
      </w:r>
    </w:p>
    <w:p>
      <w:pPr>
        <w:spacing w:line="550" w:lineRule="exact"/>
        <w:ind w:firstLine="640" w:firstLineChars="200"/>
        <w:rPr>
          <w:rFonts w:hint="eastAsia" w:ascii="黑体" w:eastAsia="黑体"/>
          <w:sz w:val="32"/>
          <w:szCs w:val="32"/>
        </w:rPr>
      </w:pPr>
      <w:r>
        <w:rPr>
          <w:rFonts w:hint="eastAsia" w:ascii="黑体" w:eastAsia="黑体"/>
          <w:sz w:val="32"/>
          <w:szCs w:val="32"/>
        </w:rPr>
        <w:t>三、编制任务</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（一）市“十三五”规划纲要。</w:t>
      </w:r>
      <w:r>
        <w:rPr>
          <w:rFonts w:hint="eastAsia" w:ascii="仿宋_GB2312" w:eastAsia="仿宋_GB2312"/>
          <w:sz w:val="32"/>
          <w:szCs w:val="32"/>
        </w:rPr>
        <w:t>市国民经济和社会发展规划纲要（即总体规划）是战略性、纲领性、综合性规划，是编制本级和下级专项规划、区域规划以及制定有关政策和年度计划的依据，其他规划必须符合总体规划的要求。市“十三五”规划纲要草案由市人民政府提出，市人民代表大会审议批准。起草工作由市发展改革局牵头，市有关部门参加。具体编制工作分为3个阶段：</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1.第一阶段，2014年12月底前。市有关部门按照要求，完成市“十三五”规划前期研究工作。市发展改革局以前期研究成果为基础，提出市“十三五”规划的基本思路。</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第二阶段，2015年1月到市委“十三五”规划建议出台前。市发展改革局组织开展规划纲要框架的研究起草工作，研究测算“十三五”经济社会发展重要指标，组织各地区、各部门研究提出纳入市“十三五”规划纲要的重点任务、重大项目、重大政策举措等，形成规划纲要的框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第三阶段，2015年12月底前。市发展改革局按照市委建议起草完成规划纲要草案，广泛征求各区各部门、市人大和政协有关专门委员会和代表、委员、专家学者、社会各界人士等各方面的意见，报市委、市政府审定。2016年初由市人民政府提请市人民代表大会审议批准，并在批准后向社会公布。</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（二）市专项规划。</w:t>
      </w:r>
      <w:r>
        <w:rPr>
          <w:rFonts w:hint="eastAsia" w:ascii="仿宋_GB2312" w:eastAsia="仿宋_GB2312"/>
          <w:sz w:val="32"/>
          <w:szCs w:val="32"/>
        </w:rPr>
        <w:t>专项规划是以国民经济和社会发展特定领域为对象编制的规划，是规划纲要在特定领域的细化，也是政府指导该领域发展以及审批、核准重大项目，安排政府投资和财政支出预算，制定特定领域相关政策的依据。市专项规划分重点专项和一般专项两类。重点专项规划主要集中在交通、能源、水利等基础设施和新型城镇化、环保生态、经济体制改革、公共事业和公共服务、质量和安全等需要政府主导的重点领域，以及涉及国民经济重要布局的一些重要行业。市重点专项规划由市有关部门牵头，组织相关单位共同编制，区政府参与，报市人民政府审定。市重点专项规划编制工作分为3个阶段：</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1.第一阶段，2014年12月底前。确定市“十三五”重点专项规划题目和牵头部门。各重点专项规划牵头部门和参与单位组成市“十三五”重点专项规划专题组，提出工作方案和规划草案的写作提纲。</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2.第二阶段，2015年1月到6月底前。各重点专项规划完成初稿，并报送市发展改革局。市发展改革局就重点专项规划初稿中的重大问题进行研究，将重要的内容纳入到市“十三五”规划纲要中。</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3.第三阶段，2016年1月底前，各重点专项规划牵头部门将规划广泛征求各区县、市有关部门、专家等各方面意见后，形成送审稿，并与市“十三五”规划纲要衔接后，上报市人民政府审定。</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市一般专项规划（含部门规划）由市有关部门根据省相关部门的要求及工作需要提出，并由各部门自行组织编制和印发，报市发展改革局备案。</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（三）各区“十三五”规划纲要。</w:t>
      </w:r>
      <w:r>
        <w:rPr>
          <w:rFonts w:hint="eastAsia" w:ascii="仿宋_GB2312" w:eastAsia="仿宋_GB2312"/>
          <w:sz w:val="32"/>
          <w:szCs w:val="32"/>
        </w:rPr>
        <w:t>各区“十三五”规划纲要由各区人民政府提出，由同级人民代表大会审议批准。各区编制“十三五”规划纲要，要符合市“十三五”规划纲要，并与市有关区域规划、重点专项规划及相邻地区的规划相衔接。各区“十三五”规划纲要的编制进度，应与市的编制进度同步。各区“十三五”规划纲要经同级人民</w:t>
      </w:r>
      <w:r>
        <w:rPr>
          <w:rFonts w:hint="eastAsia" w:ascii="仿宋_GB2312" w:eastAsia="仿宋_GB2312"/>
          <w:sz w:val="32"/>
          <w:szCs w:val="32"/>
          <w:lang w:eastAsia="zh-CN"/>
        </w:rPr>
        <w:t>代</w:t>
      </w:r>
      <w:r>
        <w:rPr>
          <w:rFonts w:hint="eastAsia" w:ascii="仿宋_GB2312" w:eastAsia="仿宋_GB2312"/>
          <w:sz w:val="32"/>
          <w:szCs w:val="32"/>
        </w:rPr>
        <w:t>表大会审议批准后，报送市发展改革局备案。各区的专项规划可根据本方案的要求安排自行确定。</w:t>
      </w:r>
    </w:p>
    <w:p>
      <w:pPr>
        <w:spacing w:line="550" w:lineRule="exact"/>
        <w:ind w:firstLine="640" w:firstLineChars="200"/>
        <w:rPr>
          <w:rFonts w:hint="eastAsia" w:ascii="黑体" w:eastAsia="黑体"/>
          <w:sz w:val="32"/>
          <w:szCs w:val="32"/>
        </w:rPr>
      </w:pPr>
      <w:r>
        <w:rPr>
          <w:rFonts w:hint="eastAsia" w:ascii="黑体" w:eastAsia="黑体"/>
          <w:sz w:val="32"/>
          <w:szCs w:val="32"/>
        </w:rPr>
        <w:t>四、工作要求</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（一）加强衔接协调。</w:t>
      </w:r>
      <w:r>
        <w:rPr>
          <w:rFonts w:hint="eastAsia" w:ascii="仿宋_GB2312" w:eastAsia="仿宋_GB2312"/>
          <w:sz w:val="32"/>
          <w:szCs w:val="32"/>
        </w:rPr>
        <w:t>在“十三五”规划编制过程中，各级各类规划都要与相关规划进行衔接。下一级规划要与上一级规划相衔接，专项规划要与总体规划相衔接，相关的专项规划之间以及毗邻的区域规划也要衔接。同时还要搞好规划、政策以及制度建设之间的衔接协调。加强各重点专项规划与国家、省有关规划的衔接，争取所提出的重大项目列入国家和省相应规划。</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（二）广泛听取意见。</w:t>
      </w:r>
      <w:r>
        <w:rPr>
          <w:rFonts w:hint="eastAsia" w:ascii="仿宋_GB2312" w:eastAsia="仿宋_GB2312"/>
          <w:sz w:val="32"/>
          <w:szCs w:val="32"/>
        </w:rPr>
        <w:t>在规划编制过程中，要采取座谈会、协调会、公布规划草案等多种形式，广泛听取社会各界的意见，增强规划工作的透明度和公众参与度。认真组织资深专家学者参与规划的编制及论证工作，利用报纸、网络和微博、微信等新媒体积极面向社会和群众征求意见，凝聚共识，集思广益，使规划既体现政府的意图又体现公众的要求。</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（三）创新工作机制。</w:t>
      </w:r>
      <w:r>
        <w:rPr>
          <w:rFonts w:hint="eastAsia" w:ascii="仿宋_GB2312" w:eastAsia="仿宋_GB2312"/>
          <w:sz w:val="32"/>
          <w:szCs w:val="32"/>
        </w:rPr>
        <w:t>要在国家、省有关部署的基础上，进一步建立规范化的民主制度、论证制度、衔接制度、公布制度以及评估制度，提高规划制定的科学性。要明确规划实施责任主体，分解细化责任目标，尽可能将发展任务目标化、项目化、工程化，建立一套切实有效的督办考核机制，增强规划实施的权威性和可操作性。</w:t>
      </w:r>
    </w:p>
    <w:p>
      <w:pPr>
        <w:spacing w:line="550" w:lineRule="exact"/>
        <w:ind w:firstLine="640" w:firstLineChars="200"/>
        <w:rPr>
          <w:rFonts w:hint="eastAsia" w:ascii="黑体" w:eastAsia="黑体"/>
          <w:sz w:val="32"/>
          <w:szCs w:val="32"/>
        </w:rPr>
      </w:pPr>
      <w:r>
        <w:rPr>
          <w:rFonts w:hint="eastAsia" w:ascii="黑体" w:eastAsia="黑体"/>
          <w:sz w:val="32"/>
          <w:szCs w:val="32"/>
        </w:rPr>
        <w:t>五、保障措施</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（一）组织领导。</w:t>
      </w:r>
      <w:r>
        <w:rPr>
          <w:rFonts w:hint="eastAsia" w:ascii="仿宋_GB2312" w:eastAsia="仿宋_GB2312"/>
          <w:sz w:val="32"/>
          <w:szCs w:val="32"/>
        </w:rPr>
        <w:t>为保证规划编制工作的顺利开展，成立佛山市“十三五”规划编制工作领导小组，负责解决规划编制中的重大问题。由市长任组长，分管发展改革的副市长任副组长，小组成员由市有关单位领导组成，统筹指导“十三五”规划编制工作，决定重大事项。市发展改革局具体负责领导小组的日常工作。各区、有关部门要切实加强对工作的组织领导，除了要完成好各自承担规划的编制任务外，还要积极配合全市总体规划和其他专项规划、地区规划的编制工作。</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（二）编制队伍。</w:t>
      </w:r>
      <w:r>
        <w:rPr>
          <w:rFonts w:hint="eastAsia" w:ascii="仿宋_GB2312" w:eastAsia="仿宋_GB2312"/>
          <w:sz w:val="32"/>
          <w:szCs w:val="32"/>
        </w:rPr>
        <w:t>市政府成立市“十三五”规划起草小组，负责市“十三五”规划基本思路、市“十三五”规划纲要草案的起草工作。市发展改革局负责牵头组建起草小组，各区、有关部门选配规划工作的业务骨干，组建得力的规划编制队伍，由领导小组统一指挥调配。市政府成立市“十三五”规划专家委员会，负责在编制过程中提供咨询意见和建议，对规划草案进行论证等工作。专家委员会由市发展改革局负责组建，选择涉及国民经济和社会发展各领域的专家、学者组成。</w:t>
      </w:r>
    </w:p>
    <w:p>
      <w:pPr>
        <w:spacing w:line="550" w:lineRule="exact"/>
        <w:ind w:firstLine="640" w:firstLineChars="200"/>
        <w:rPr>
          <w:rFonts w:hint="eastAsia" w:ascii="仿宋_GB2312" w:eastAsia="仿宋_GB2312"/>
          <w:sz w:val="32"/>
          <w:szCs w:val="32"/>
        </w:rPr>
      </w:pPr>
      <w:r>
        <w:rPr>
          <w:rFonts w:hint="eastAsia" w:ascii="楷体_GB2312" w:eastAsia="楷体_GB2312"/>
          <w:sz w:val="32"/>
          <w:szCs w:val="32"/>
        </w:rPr>
        <w:t>（三）经费保障。</w:t>
      </w:r>
      <w:r>
        <w:rPr>
          <w:rFonts w:hint="eastAsia" w:ascii="仿宋_GB2312" w:eastAsia="仿宋_GB2312"/>
          <w:sz w:val="32"/>
          <w:szCs w:val="32"/>
        </w:rPr>
        <w:t>编制市“十三五”规划纲要、重点专项规划所需经费，列入市财政预算安排。一般专项规划（部门规划）的编制经费由各部门列入2015年财政经费预算解决。各区编制规划所需经费，由同级财政部门列入本级财政预算。</w:t>
      </w:r>
    </w:p>
    <w:p>
      <w:pPr>
        <w:spacing w:line="550" w:lineRule="exact"/>
        <w:ind w:firstLine="420"/>
        <w:rPr>
          <w:rFonts w:hint="eastAsia" w:ascii="仿宋_GB2312" w:eastAsia="仿宋_GB2312"/>
          <w:sz w:val="32"/>
          <w:szCs w:val="32"/>
        </w:rPr>
      </w:pPr>
    </w:p>
    <w:p>
      <w:pPr>
        <w:spacing w:line="550" w:lineRule="exact"/>
        <w:ind w:firstLine="640" w:firstLineChars="200"/>
        <w:rPr>
          <w:rFonts w:hint="eastAsia" w:ascii="黑体" w:eastAsia="黑体"/>
          <w:sz w:val="32"/>
          <w:szCs w:val="32"/>
        </w:rPr>
      </w:pPr>
      <w:r>
        <w:rPr>
          <w:rFonts w:hint="eastAsia" w:ascii="仿宋_GB2312" w:eastAsia="仿宋_GB2312"/>
          <w:sz w:val="32"/>
          <w:szCs w:val="32"/>
        </w:rPr>
        <w:t>附件：佛山市“十三五”规划前期研究课题</w:t>
      </w: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r>
        <w:rPr>
          <w:rFonts w:hint="eastAsia" w:ascii="黑体" w:eastAsia="黑体"/>
          <w:sz w:val="32"/>
          <w:szCs w:val="32"/>
        </w:rPr>
        <w:t>附件</w:t>
      </w:r>
    </w:p>
    <w:p>
      <w:pPr>
        <w:spacing w:line="560" w:lineRule="exact"/>
        <w:rPr>
          <w:rFonts w:hint="eastAsia" w:ascii="仿宋_GB2312"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佛山市“十三五”规划前期研究课题</w:t>
      </w:r>
    </w:p>
    <w:p>
      <w:pPr>
        <w:spacing w:line="560" w:lineRule="exact"/>
        <w:rPr>
          <w:rFonts w:hint="eastAsia" w:ascii="仿宋_GB2312" w:eastAsia="仿宋_GB2312"/>
          <w:sz w:val="32"/>
          <w:szCs w:val="32"/>
        </w:rPr>
      </w:pPr>
    </w:p>
    <w:p>
      <w:pPr>
        <w:spacing w:line="560" w:lineRule="exact"/>
        <w:ind w:firstLine="640" w:firstLineChars="200"/>
        <w:rPr>
          <w:rFonts w:hint="eastAsia" w:ascii="黑体" w:eastAsia="黑体"/>
          <w:sz w:val="32"/>
          <w:szCs w:val="32"/>
        </w:rPr>
      </w:pPr>
      <w:r>
        <w:rPr>
          <w:rFonts w:hint="eastAsia" w:ascii="黑体" w:eastAsia="黑体"/>
          <w:sz w:val="32"/>
          <w:szCs w:val="32"/>
        </w:rPr>
        <w:t>一、综合课题（市发展改革局负责组织）</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（一）“十三五”国内外发展环境与应对策略研究。</w:t>
      </w:r>
      <w:r>
        <w:rPr>
          <w:rFonts w:hint="eastAsia" w:ascii="仿宋_GB2312" w:eastAsia="仿宋_GB2312"/>
          <w:sz w:val="32"/>
          <w:szCs w:val="32"/>
        </w:rPr>
        <w:t>重点研究“十三五”时期国际、国内环境的变化趋势，以及对我市的影响；研究“十三五”时期国家宏观经济政策的可能取向，以及对我市经济发展的影响；研究在加快转型升级背景下，土地、资本、劳动力等关键要素对我市经济持续发展的支撑能力；提出应对形势变化和促进经济转型的对策建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（二）佛山市“十三五”重大问题和发展战略研究。</w:t>
      </w:r>
      <w:r>
        <w:rPr>
          <w:rFonts w:hint="eastAsia" w:ascii="仿宋_GB2312" w:eastAsia="仿宋_GB2312"/>
          <w:sz w:val="32"/>
          <w:szCs w:val="32"/>
        </w:rPr>
        <w:t>全面总结“十二五”时期我市经济发展成就与特征；分析“十三五”时期经济社会发展面临的有利条件与制约因素，剖析亟待解决的重大问题和深层次矛盾；提出我市“十三五”时期经济社会发展的指导思想、发展战略、主要目标、重点任务和对策措施。</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（三）佛山市全面创建国家创新型城市与创新驱动发展战略研究。</w:t>
      </w:r>
      <w:r>
        <w:rPr>
          <w:rFonts w:hint="eastAsia" w:ascii="仿宋_GB2312" w:eastAsia="仿宋_GB2312"/>
          <w:sz w:val="32"/>
          <w:szCs w:val="32"/>
        </w:rPr>
        <w:t>总结我市建设国家创新型城市的工作基础与瓶颈问题；分析我市实现创新驱动发展面临的机遇与挑战；总结国内外实施创新驱动发展战略的经验模式；提出我市全面创建国家创新型城市、实现创新驱动发展的路径选择、工作重点与对策建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（四）佛山市产业核心竞争力及其区域竞争力提升研究。</w:t>
      </w:r>
      <w:r>
        <w:rPr>
          <w:rFonts w:hint="eastAsia" w:ascii="仿宋_GB2312" w:eastAsia="仿宋_GB2312"/>
          <w:sz w:val="32"/>
          <w:szCs w:val="32"/>
        </w:rPr>
        <w:t>深入分析我市主导产业的优势与劣势，分析我市产业在区域范围内的地位；在国际制造业发展和转移背景下，分析我市制造业发展面临的新机遇和新挑战；针对外部环境不利、区域竞争加剧的情况，提出提升我市产业核心竞争力和区域地位的重点发展领域、创新举措以及政策建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（五）佛山市领衔打造珠江西岸机械装备制造业产业带研究。</w:t>
      </w:r>
      <w:r>
        <w:rPr>
          <w:rFonts w:hint="eastAsia" w:ascii="仿宋_GB2312" w:eastAsia="仿宋_GB2312"/>
          <w:sz w:val="32"/>
          <w:szCs w:val="32"/>
        </w:rPr>
        <w:t>总结我市机械装备制造业发展现状，研究我市在珠三角和珠江西岸机械装备制造业中的发展优势和不足，从打造机械装备制造业的全产业链、加强载体建设等方面，提出我市领衔打造珠江西岸机械装备制造业产业带的战略地位、发展思路、重点任务、配套政策措施。</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（六）佛山市现代服务业发展与消费增长互动研究。</w:t>
      </w:r>
      <w:r>
        <w:rPr>
          <w:rFonts w:hint="eastAsia" w:ascii="仿宋_GB2312" w:eastAsia="仿宋_GB2312"/>
          <w:sz w:val="32"/>
          <w:szCs w:val="32"/>
        </w:rPr>
        <w:t>分析我市现代服务业发展现状和面临环境，研究我市现代服务业发展重点领域；分析我市消费现状、结构、特点、影响因素，研究消费增长对我市经济增长的贡献，以及消费结构变化对产业结构的影响；研究我市现代服务业发展与消费增长的关系、互动机制，提出相关政策建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（七）佛山市人才发展与产业发展互动提升研究。</w:t>
      </w:r>
      <w:r>
        <w:rPr>
          <w:rFonts w:hint="eastAsia" w:ascii="仿宋_GB2312" w:eastAsia="仿宋_GB2312"/>
          <w:sz w:val="32"/>
          <w:szCs w:val="32"/>
        </w:rPr>
        <w:t>深入分析我市人才现状、结构，在区域范围内对比我市人才吸引力、凝聚力，分析存在的问题与不足；在开放竞争的环境下，研究我市人才发展与产业转型升级的关系、互动机制；以提升解决产业发展重大问题的能力为主线，提出促进我市人才发展与产业发展互促互进的总体思路、工作重点和保障措施。</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（八）佛山市城市品质提升与空间布局优化研究。</w:t>
      </w:r>
      <w:r>
        <w:rPr>
          <w:rFonts w:hint="eastAsia" w:ascii="仿宋_GB2312" w:eastAsia="仿宋_GB2312"/>
          <w:sz w:val="32"/>
          <w:szCs w:val="32"/>
        </w:rPr>
        <w:t>研究当前我市城市发展环境的特点，分析存在的问题与不足；以经济、社会、生态和谐发展和打造以人为本的宜居环境为出发点，提出进一步提升城市品质、优化空间布局的战略举措；从提升城市形象出发，提出增强佛山城市魅力的措施建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（九）佛山市环境治理模式创新与绿色发展研究。</w:t>
      </w:r>
      <w:r>
        <w:rPr>
          <w:rFonts w:hint="eastAsia" w:ascii="仿宋_GB2312" w:eastAsia="仿宋_GB2312"/>
          <w:sz w:val="32"/>
          <w:szCs w:val="32"/>
        </w:rPr>
        <w:t>总结“十二五”期末我市环境保护工作成绩与不足，分析存在的难点问题，研究提出“十三五”期间环境治理重点和破解环境治理难题的创新思路，使佛山天更蓝、水更清；将环境保护与节能减排、环保产业相结合，提出加快发展环保产业、实现绿色发展的措施建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（十）佛山市全面深化改革再创新优势研究。</w:t>
      </w:r>
      <w:r>
        <w:rPr>
          <w:rFonts w:hint="eastAsia" w:ascii="仿宋_GB2312" w:eastAsia="仿宋_GB2312"/>
          <w:sz w:val="32"/>
          <w:szCs w:val="32"/>
        </w:rPr>
        <w:t>全面总结我市“十二五”期末重点领域和关键环节改革成就与不足，分析全面深化改革的难点；按照使市场在资源配置中起决定性作用和更好发挥政府作用的改革方向，研究提出我市全面深化改革的改革目标、思路、重点和政策建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（十一）佛山市促进区域协调发展机制研究。</w:t>
      </w:r>
      <w:r>
        <w:rPr>
          <w:rFonts w:hint="eastAsia" w:ascii="仿宋_GB2312" w:eastAsia="仿宋_GB2312"/>
          <w:sz w:val="32"/>
          <w:szCs w:val="32"/>
        </w:rPr>
        <w:t>重点总结佛山五区发展现状和差距，分析五区融合发展存在的问题和困难，提出促进五区协调发展、提升城市凝聚力的机制、措施；总结我市推动珠三角一体化发展面临的机遇挑战和存在问题，提出今后发展方向和重点工作任务。</w:t>
      </w:r>
    </w:p>
    <w:p>
      <w:pPr>
        <w:spacing w:line="560" w:lineRule="exact"/>
        <w:ind w:firstLine="640" w:firstLineChars="200"/>
        <w:rPr>
          <w:rFonts w:hint="eastAsia" w:ascii="黑体" w:eastAsia="黑体"/>
          <w:sz w:val="32"/>
          <w:szCs w:val="32"/>
        </w:rPr>
      </w:pPr>
      <w:r>
        <w:rPr>
          <w:rFonts w:hint="eastAsia" w:ascii="黑体" w:eastAsia="黑体"/>
          <w:sz w:val="32"/>
          <w:szCs w:val="32"/>
        </w:rPr>
        <w:t>二、专项课题（各部门自行组织）</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（一）佛山市率先全面建成小康社会指标体系和“十三五”经济社会发展目标研究。</w:t>
      </w:r>
      <w:r>
        <w:rPr>
          <w:rFonts w:hint="eastAsia" w:ascii="仿宋_GB2312" w:eastAsia="仿宋_GB2312"/>
          <w:sz w:val="32"/>
          <w:szCs w:val="32"/>
        </w:rPr>
        <w:t>研究我市“十三五”时期经济社会发展和率先全面建成小康社会的指标体系，对指标当前实现程度和未来发展趋势进行测算，提出“十三五”期末各项指标的目标方案和建议。（市发展改革局负责）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（二）佛山市“十三五”经济体制改革规划研究。</w:t>
      </w:r>
      <w:r>
        <w:rPr>
          <w:rFonts w:hint="eastAsia" w:ascii="仿宋_GB2312" w:eastAsia="仿宋_GB2312"/>
          <w:sz w:val="32"/>
          <w:szCs w:val="32"/>
        </w:rPr>
        <w:t>总结“十二五”时期我市经济体制改革主要情况、存在问题，分析“十三五”时期我市经济体制改革面临的形势和主要挑战，提出“十三五”期间我市经济体制改革的指导思想、主要目标、重要任务和实施路径等，为全面深化改革提供政策支持。(市发展改革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（三）佛山市“十三五”人口发展战略和政策研究。</w:t>
      </w:r>
      <w:r>
        <w:rPr>
          <w:rFonts w:hint="eastAsia" w:ascii="仿宋_GB2312" w:eastAsia="仿宋_GB2312"/>
          <w:sz w:val="32"/>
          <w:szCs w:val="32"/>
        </w:rPr>
        <w:t>总结“十二五”时期我市人口发展现状和面临的发展环境，针对“十三五”时期我市人口与经济、社会、资源、环境协调发展和可持续发展中的重大问题，提出我市人口发展的战略对策和相应的经济社会发展政策建议。（市发展改革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（四）佛山“十三五”社会事业建设研究。</w:t>
      </w:r>
      <w:r>
        <w:rPr>
          <w:rFonts w:hint="eastAsia" w:ascii="仿宋_GB2312" w:eastAsia="仿宋_GB2312"/>
          <w:sz w:val="32"/>
          <w:szCs w:val="32"/>
        </w:rPr>
        <w:t>深入研究佛山社会事业建设突出问题，以发展经济与改善民生有机结合、经济政策与社会政策统筹协调为原则，从建设覆盖城乡的基本公共服务均等化体系，加强重大民生政策的实施，稳步推进重点领域改革，大力发展社会服务业等方面，提出促进佛山和谐发展的政策建议。（市发展改革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（五）佛山市“十三五”战略性新兴产业发展研究。</w:t>
      </w:r>
      <w:r>
        <w:rPr>
          <w:rFonts w:hint="eastAsia" w:ascii="仿宋_GB2312" w:eastAsia="仿宋_GB2312"/>
          <w:sz w:val="32"/>
          <w:szCs w:val="32"/>
        </w:rPr>
        <w:t>分析我市战略性新兴产业发展现状和发展环境，研究提出我市“十三五”时期战略性新兴发展目标任务、重点领域和相关政策措施。（市发展改革局负责）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（六）佛山市“十三五”投资形势、政策及效益研究。</w:t>
      </w:r>
      <w:r>
        <w:rPr>
          <w:rFonts w:hint="eastAsia" w:ascii="仿宋_GB2312" w:eastAsia="仿宋_GB2312"/>
          <w:sz w:val="32"/>
          <w:szCs w:val="32"/>
        </w:rPr>
        <w:t>分析我市“十二五”期末投资发展情况和发展环境，对我市“十三五”时期的投资规模、增速、支撑条件、结构优化等方面开展研究，提出我市投资增长目标和重点投资领域，提出促进投资合理增长和投资结构优化的政策措施；分析“十二五”时期投资效益情况，提出“十三五”时期提升投资效益的措施建议。（市发展改革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（七）“十三五”信息化引领佛山经济升级和社会管理研究。</w:t>
      </w:r>
      <w:r>
        <w:rPr>
          <w:rFonts w:hint="eastAsia" w:ascii="仿宋_GB2312" w:eastAsia="仿宋_GB2312"/>
          <w:sz w:val="32"/>
          <w:szCs w:val="32"/>
        </w:rPr>
        <w:t>分析互联网大数据时代给我市经济社会发展带来的影响，研究我市如何抓住信息化时代的机遇，推进电子商务和制造业融合提升，推动经济转型升级和社会管理创新。（市经济和信息化局负责）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（八）佛山市“十三五”农业农村改革发展研究。</w:t>
      </w:r>
      <w:r>
        <w:rPr>
          <w:rFonts w:hint="eastAsia" w:ascii="仿宋_GB2312" w:eastAsia="仿宋_GB2312"/>
          <w:sz w:val="32"/>
          <w:szCs w:val="32"/>
        </w:rPr>
        <w:t>在新型城镇化和城乡一体化发展的背景下，分析佛山农业经济转型升级、农产品质量监管体系建设、农村综合改革和林业生态建设等现状，重点研究农村集体经济组织转型升级问题，提出“十三五”期间农业农村改革发展的战略思路、路径选择和政策建议等。（市农业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（九）佛山市“十三五”产业国际化发展研究。</w:t>
      </w:r>
      <w:r>
        <w:rPr>
          <w:rFonts w:hint="eastAsia" w:ascii="仿宋_GB2312" w:eastAsia="仿宋_GB2312"/>
          <w:sz w:val="32"/>
          <w:szCs w:val="32"/>
        </w:rPr>
        <w:t>分析我市产业国际化发展的现状和基础，以及我市产业国际化发展的主要制约因素及有利条件，从强化市场开拓能力、强化企业的品牌出口能力、创新市场开拓手段和引导企业积极走出去等方面，提出加快我市产业国际化发展的工作措施。（市商务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（十）佛山市“十三五”加强河湖管理和促进水生态文明建设研究。</w:t>
      </w:r>
      <w:r>
        <w:rPr>
          <w:rFonts w:hint="eastAsia" w:ascii="仿宋_GB2312" w:eastAsia="仿宋_GB2312"/>
          <w:sz w:val="32"/>
          <w:szCs w:val="32"/>
        </w:rPr>
        <w:t>按照率先全面建成小康社会的要求，研究水生态文明建设目标和方向，提出我市“十三五”时期的治水思路、战略性发展方向、重点任务和对策措施。（市水务局负责）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（十一）佛山市“十三五”新型城镇化路径探索研究。</w:t>
      </w:r>
      <w:r>
        <w:rPr>
          <w:rFonts w:hint="eastAsia" w:ascii="仿宋_GB2312" w:eastAsia="仿宋_GB2312"/>
          <w:sz w:val="32"/>
          <w:szCs w:val="32"/>
        </w:rPr>
        <w:t>研究梳理市、区和镇（街道）的权责分工；开展对农村住房的现状调查，提出疏导策略；对规范村镇建设、提升建设成效，农村产业低碳、环保升级发展等方面进行研究；研究岭南文化底蕴对我市城镇化路径和第三产业的促进作用。（市住建管理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（十二）佛山市“十三五”城市管理创新与长效机制研究。</w:t>
      </w:r>
      <w:r>
        <w:rPr>
          <w:rFonts w:hint="eastAsia" w:ascii="仿宋_GB2312" w:eastAsia="仿宋_GB2312"/>
          <w:sz w:val="32"/>
          <w:szCs w:val="32"/>
        </w:rPr>
        <w:t>总结分析“十二五”我市城市管理工作的成绩、存在的困难和不足，研究在新形势下如何创新城市管理模式和工作机制；从城市管理长效机制如何构建，城市管理各职能部门的职责界定以及如何形成合力，城市管理效率的提升、手段创新和政府资源如何保障城市管理等方面研究我市城市管理长效机制。（市住建管理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（十三）佛山市“十三五”土壤和水环境综合治理研究。</w:t>
      </w:r>
      <w:r>
        <w:rPr>
          <w:rFonts w:hint="eastAsia" w:ascii="仿宋_GB2312" w:eastAsia="仿宋_GB2312"/>
          <w:sz w:val="32"/>
          <w:szCs w:val="32"/>
        </w:rPr>
        <w:t xml:space="preserve">总结“十二五”时期土壤和水环境治理现状，分析存在的不足和“十三五”时期亟需解决的重大问题，从制度层面提出推进我市土壤和水环境综合治理的具体对策。（市环境保护局负责） </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（十四）结合《大气污染防治行动计划》推进“十三五”佛山市大气污染防治工作研究。</w:t>
      </w:r>
      <w:r>
        <w:rPr>
          <w:rFonts w:hint="eastAsia" w:ascii="仿宋_GB2312" w:eastAsia="仿宋_GB2312"/>
          <w:sz w:val="32"/>
          <w:szCs w:val="32"/>
        </w:rPr>
        <w:t>研究《大气污染防治行动计划》</w:t>
      </w:r>
      <w:r>
        <w:rPr>
          <w:rFonts w:hint="eastAsia" w:ascii="宋体" w:hAnsi="宋体"/>
          <w:sz w:val="32"/>
          <w:szCs w:val="32"/>
        </w:rPr>
        <w:t>—</w:t>
      </w:r>
      <w:r>
        <w:rPr>
          <w:rFonts w:hint="eastAsia" w:ascii="仿宋_GB2312" w:eastAsia="仿宋_GB2312"/>
          <w:sz w:val="32"/>
          <w:szCs w:val="32"/>
        </w:rPr>
        <w:t xml:space="preserve">空气“国十条” 颁布后的大气污染防治形势、法制环境和对我市的影响，从产业发展、城市建设和机动车污染控制等方面进行全面把脉，提出更高层次的大气污染防治综合举措。（市环境保护局负责） </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（十五）佛山市“十三五”科技发展战略、思路与重点研究。</w:t>
      </w:r>
      <w:r>
        <w:rPr>
          <w:rFonts w:hint="eastAsia" w:ascii="仿宋_GB2312" w:eastAsia="仿宋_GB2312"/>
          <w:sz w:val="32"/>
          <w:szCs w:val="32"/>
        </w:rPr>
        <w:t>总结我市“十二五”期末科技发展基础、背景以及制约因素，分析当前国内外科技发展环境和国家政策取向，剖析若干亟待解决的重大问题，提出“十三五”时期科技发展的战略思路、工作重点和政策建议。（市科技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（十六）佛山市“十三五”法治政府建设研究。</w:t>
      </w:r>
      <w:r>
        <w:rPr>
          <w:rFonts w:hint="eastAsia" w:ascii="仿宋_GB2312" w:eastAsia="仿宋_GB2312"/>
          <w:sz w:val="32"/>
          <w:szCs w:val="32"/>
        </w:rPr>
        <w:t>对我市推进依法行政、建设法治政府工作进行全面的评估，全面、客观了解掌握我市目前的依法行政和法治政府建设状况，找准重点、难点和薄弱环节，科学规划我市“十三五”时期法治政府建设工作。（市法制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（十七）佛山市“十三五”中心城区规划建设统筹发展研究。</w:t>
      </w:r>
      <w:r>
        <w:rPr>
          <w:rFonts w:hint="eastAsia" w:ascii="仿宋_GB2312" w:eastAsia="仿宋_GB2312"/>
          <w:sz w:val="32"/>
          <w:szCs w:val="32"/>
        </w:rPr>
        <w:t>梳理和分析佛山中心城区规划建设中存在的问题，结合佛山现状实际情况，探索中心城区范围内规划管控区划定的可行性和方法，实施分区分类分级管理；与具有相似情况的城市相比较，借鉴其统筹中心城区规划建设的经验；以“强中心”为目标，提出统筹中心城区规划建设发展的着力点和方法；从近期和远期出发，提出中心城区规划建设统筹发展的工作任务。（市国土规划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（十八）佛山市“十三五”义务教育学校均衡优质标准化发展研究。</w:t>
      </w:r>
      <w:r>
        <w:rPr>
          <w:rFonts w:hint="eastAsia" w:ascii="仿宋_GB2312" w:eastAsia="仿宋_GB2312"/>
          <w:sz w:val="32"/>
          <w:szCs w:val="32"/>
        </w:rPr>
        <w:t>研究推进义务教育学校“管办评”分离，促进学校自主办学工作研究；研究义务教育学校内部治理机制改革创新；探索以网络问卷方式，完善家长评价义务教育学校办学工作机制。（市教育局负责）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（十九）佛山市“十三五”现代职业教育发展研究。</w:t>
      </w:r>
      <w:r>
        <w:rPr>
          <w:rFonts w:hint="eastAsia" w:ascii="仿宋_GB2312" w:eastAsia="仿宋_GB2312"/>
          <w:sz w:val="32"/>
          <w:szCs w:val="32"/>
        </w:rPr>
        <w:t>研究现代职业教育体系构建和现代新型社区教育发展，探讨如何以职业成人教育推进新型城镇化发展，实现以现代职业教育发展推进产城人融合和异地务工人员市民化进程；分析我市职业教育校企合作现状，研究我市职业院校、企业对校企合作的需求和政策诉求，提出“十三五”时期我市职业教育发展的方向，制定校企合作相关政策。（市教育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（二十）佛山市“十三五”产业与城市休闲旅游业协同发展研究。</w:t>
      </w:r>
      <w:r>
        <w:rPr>
          <w:rFonts w:hint="eastAsia" w:ascii="仿宋_GB2312" w:eastAsia="仿宋_GB2312"/>
          <w:sz w:val="32"/>
          <w:szCs w:val="32"/>
        </w:rPr>
        <w:t>分析佛山旅游业及相关产业联动发展现状，确定“十三五”时期适宜协同发展的重点产业，提出近中期的协同发展建议与重点导向；解析国外旅游产业协同发展成功案例，从产业政策、政企合作、管控方案等方面提出构建良好运营管理模式的措施建议。（市旅游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（二十一）佛山市“十三五”加快体育产业发展研究。</w:t>
      </w:r>
      <w:r>
        <w:rPr>
          <w:rFonts w:hint="eastAsia" w:ascii="仿宋_GB2312" w:eastAsia="仿宋_GB2312"/>
          <w:sz w:val="32"/>
          <w:szCs w:val="32"/>
        </w:rPr>
        <w:t>总结我市体育产业发展现状，分析存在的问题和制约因素，提出下一阶段我市体育产业发展思路和相关战略。（市体育局负责）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（二十二）佛山市“十三五”公共交通发展规划研究。</w:t>
      </w:r>
      <w:r>
        <w:rPr>
          <w:rFonts w:hint="eastAsia" w:ascii="仿宋_GB2312" w:eastAsia="仿宋_GB2312"/>
          <w:sz w:val="32"/>
          <w:szCs w:val="32"/>
        </w:rPr>
        <w:t>分析“十二五”时期我市公共交通发展现状及主要问题，借鉴国内外公共交通发展理念及案例，提出我市“十三五”时期公共交通发展目标及规划方案（“十三五”期间建设项目），针对指标体系构建及措施保障、公交发展管理体制及机制保障开展深入研究。（市交通运输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（二十三）佛山市“十三五”社会保障体制创新发展研究。</w:t>
      </w:r>
      <w:r>
        <w:rPr>
          <w:rFonts w:hint="eastAsia" w:ascii="仿宋_GB2312" w:eastAsia="仿宋_GB2312"/>
          <w:sz w:val="32"/>
          <w:szCs w:val="32"/>
        </w:rPr>
        <w:t>分析总结我市当前社会保障发展主要成绩、突出问题及原因，科学判断发展形势，研究提出“十三五”时期我市社会保障体制创新发展的指导思想、总体思路，明确主要目标、重点任务和政策举措。（市人力资源社会保障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（二十四）佛山市“十三五”优质医疗资源和基层医疗事业发展研究。</w:t>
      </w:r>
      <w:r>
        <w:rPr>
          <w:rFonts w:hint="eastAsia" w:ascii="仿宋_GB2312" w:eastAsia="仿宋_GB2312"/>
          <w:sz w:val="32"/>
          <w:szCs w:val="32"/>
        </w:rPr>
        <w:t>分析我市“十二五”时期医疗卫生事业成绩、存在问题及原因，研究优质医疗资源和基层医疗事业不同发展方向，建立两者互为补充、相互促进的新型发展机制，满足市民对卫生事业的多元需求，提出“十三五”时期医疗卫生事业发展方向和分类发展战略。（市卫生计生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（二十五）佛山市“十三五”文化事业及产业发展研究。</w:t>
      </w:r>
      <w:r>
        <w:rPr>
          <w:rFonts w:hint="eastAsia" w:ascii="仿宋_GB2312" w:eastAsia="仿宋_GB2312"/>
          <w:sz w:val="32"/>
          <w:szCs w:val="32"/>
        </w:rPr>
        <w:t>全面评估“岭南文化名城”战略实施以来，我市文化事业和文化产业发展取得的成就、存在的问题，研究我市文化事业和产业发展的外部环境和内在需求，提出我市“十三五”时期文化事业和产业发展的目标、任务和主要措施。（市文广新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（二十六）佛山市“十三五”安全生产风险评估机制及监督管理路径研究。</w:t>
      </w:r>
      <w:r>
        <w:rPr>
          <w:rFonts w:hint="eastAsia" w:ascii="仿宋_GB2312" w:eastAsia="仿宋_GB2312"/>
          <w:sz w:val="32"/>
          <w:szCs w:val="32"/>
        </w:rPr>
        <w:t>分析总结我市“十二五”时期安全生产的总体情况，分析评估“十三五”时期的安全生产形势及高风险区域、行业，建立科学的安全生产风险分析评估机制，研究提出“十三五”时期安全生产重点工作任务和推进安全生产的重要工程项目。（市安全监管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（二十七）佛山市“十三五”国有金融、类金融产业发展策略和实施路径研究。</w:t>
      </w:r>
      <w:r>
        <w:rPr>
          <w:rFonts w:hint="eastAsia" w:ascii="仿宋_GB2312" w:eastAsia="仿宋_GB2312"/>
          <w:sz w:val="32"/>
          <w:szCs w:val="32"/>
        </w:rPr>
        <w:t>研究我市国有金融、类金融产业发展环境及现状，分析我市发展国有金融、类金融产业的意义，借鉴其他省市发展国有金融、类金融业务的先进做法，提出我市发展国有金融、类金融产业的目标、发展阶段、实施路径安排和具体策略。（市国资委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（二十八）佛山市“十三五”社会组织培育与管理研究。</w:t>
      </w:r>
      <w:r>
        <w:rPr>
          <w:rFonts w:hint="eastAsia" w:ascii="仿宋_GB2312" w:eastAsia="仿宋_GB2312"/>
          <w:sz w:val="32"/>
          <w:szCs w:val="32"/>
        </w:rPr>
        <w:t>总结我市“十二五”时期社会组织发展现状，分析存在的不足和面临的问题，重点研究如何加强对社会组织的培育与管理，提出“十三五”时期社会组织的培育目标和方向，以及优化对社会组织管理的顶层设计。（市民政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（二十九）佛山市“十三五”社会治安保障形势及对策研究。</w:t>
      </w:r>
      <w:r>
        <w:rPr>
          <w:rFonts w:hint="eastAsia" w:ascii="仿宋_GB2312" w:eastAsia="仿宋_GB2312"/>
          <w:sz w:val="32"/>
          <w:szCs w:val="32"/>
        </w:rPr>
        <w:t>分析总结“十二五”时期我市社会治安状况，科学研判“十三五”时期我市的社会治安形势，研究多措并举推动新时期社会治安保障工作的对策措施。（市公安局负责）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（三十）佛山市“十三五”保障食品药品安全的思路与模式研究。</w:t>
      </w:r>
      <w:r>
        <w:rPr>
          <w:rFonts w:hint="eastAsia" w:ascii="仿宋_GB2312" w:eastAsia="仿宋_GB2312"/>
          <w:sz w:val="32"/>
          <w:szCs w:val="32"/>
        </w:rPr>
        <w:t>总结“十二五”时期我市食品药品安全情况，分析“十三五”时期食品药品安全形势、制约我市食品药品安全的主要因素；总结国内外先进经验，提出利用信息化手段，保障我市食品药品安全的思路和方案，创新监管模式，提高食品药品安全水平。（市食品药品监管局负责）</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（三十一）佛山市“十三五”构建全面覆盖城乡的公共法律服务体系研究。</w:t>
      </w:r>
      <w:r>
        <w:rPr>
          <w:rFonts w:hint="eastAsia" w:ascii="仿宋_GB2312" w:eastAsia="仿宋_GB2312"/>
          <w:sz w:val="32"/>
          <w:szCs w:val="32"/>
        </w:rPr>
        <w:t>分析我市公共法律服务资源分布、供给方式、公共法律服务需求等现状及存在问题，研究我市“十三五”时期公共法律服务核心要素，提出公共法律服务体系惠及范围、实施标准、资源配置、供给方式、管理运行以及绩效评价。（市司法局负责）</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（三十二）佛山市“十三五”推进现代公共气象服务体系建设的研究。</w:t>
      </w:r>
      <w:r>
        <w:rPr>
          <w:rFonts w:hint="eastAsia" w:ascii="仿宋_GB2312" w:eastAsia="仿宋_GB2312"/>
          <w:sz w:val="32"/>
          <w:szCs w:val="32"/>
        </w:rPr>
        <w:t>总结“十二五”时期我市气象现代化建设整体情况，分析“十三五”时期气象发展需解决的突出问题，研究提出推进现代公共气象服务体系建设的总体思想、主要目标、重点任务和有关措施。（市气象局负责）</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sectPr>
          <w:footerReference r:id="rId3" w:type="default"/>
          <w:footerReference r:id="rId4" w:type="even"/>
          <w:pgSz w:w="11906" w:h="16838"/>
          <w:pgMar w:top="2098" w:right="1474" w:bottom="1985" w:left="1588" w:header="851" w:footer="992" w:gutter="0"/>
          <w:cols w:space="720" w:num="1"/>
          <w:titlePg/>
          <w:docGrid w:type="lines" w:linePitch="312" w:charSpace="0"/>
        </w:sect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margin">
                  <wp:posOffset>201930</wp:posOffset>
                </wp:positionH>
                <wp:positionV relativeFrom="page">
                  <wp:posOffset>8563610</wp:posOffset>
                </wp:positionV>
                <wp:extent cx="5200650" cy="792480"/>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5200650" cy="792480"/>
                        </a:xfrm>
                        <a:prstGeom prst="rect">
                          <a:avLst/>
                        </a:prstGeom>
                        <a:noFill/>
                        <a:ln>
                          <a:noFill/>
                        </a:ln>
                      </wps:spPr>
                      <wps:txbx>
                        <w:txbxContent>
                          <w:p>
                            <w:pPr>
                              <w:spacing w:line="560" w:lineRule="exact"/>
                              <w:ind w:left="839" w:hanging="839"/>
                              <w:rPr>
                                <w:rFonts w:ascii="仿宋_GB2312" w:eastAsia="仿宋_GB2312"/>
                                <w:sz w:val="28"/>
                              </w:rPr>
                            </w:pPr>
                            <w:r>
                              <w:rPr>
                                <w:rFonts w:hint="eastAsia" w:ascii="仿宋_GB2312" w:eastAsia="仿宋_GB2312"/>
                                <w:sz w:val="28"/>
                              </w:rPr>
                              <w:t>抄送：</w:t>
                            </w:r>
                            <w:r>
                              <w:rPr>
                                <w:rFonts w:hint="eastAsia" w:ascii="仿宋_GB2312" w:hAnsi="宋体" w:eastAsia="仿宋_GB2312"/>
                                <w:sz w:val="28"/>
                                <w:szCs w:val="32"/>
                              </w:rPr>
                              <w:t>市人大常委会办公室，市政协办公室，市委政研室，市社工委，市气象局，国家统计局佛山调查队</w:t>
                            </w:r>
                            <w:r>
                              <w:rPr>
                                <w:rFonts w:hint="eastAsia" w:ascii="仿宋_GB2312" w:eastAsia="仿宋_GB2312"/>
                                <w:sz w:val="28"/>
                              </w:rPr>
                              <w:t>。</w:t>
                            </w:r>
                          </w:p>
                          <w:p>
                            <w:pPr>
                              <w:rPr>
                                <w:rFonts w:hint="eastAsia" w:ascii="仿宋_GB2312" w:eastAsia="仿宋_GB2312"/>
                                <w:sz w:val="32"/>
                              </w:rPr>
                            </w:pPr>
                          </w:p>
                          <w:p>
                            <w:pPr>
                              <w:ind w:left="994" w:hanging="994"/>
                              <w:rPr>
                                <w:rFonts w:ascii="仿宋_GB2312" w:eastAsia="仿宋_GB2312"/>
                                <w:sz w:val="32"/>
                              </w:rPr>
                            </w:pPr>
                          </w:p>
                        </w:txbxContent>
                      </wps:txbx>
                      <wps:bodyPr lIns="0" tIns="0" rIns="0" bIns="0" upright="1"/>
                    </wps:wsp>
                  </a:graphicData>
                </a:graphic>
              </wp:anchor>
            </w:drawing>
          </mc:Choice>
          <mc:Fallback>
            <w:pict>
              <v:shape id="_x0000_s1026" o:spid="_x0000_s1026" o:spt="202" type="#_x0000_t202" style="position:absolute;left:0pt;margin-left:15.9pt;margin-top:674.3pt;height:62.4pt;width:409.5pt;mso-position-horizontal-relative:margin;mso-position-vertical-relative:page;mso-wrap-distance-bottom:0pt;mso-wrap-distance-top:0pt;z-index:251662336;mso-width-relative:page;mso-height-relative:page;" filled="f" stroked="f" coordsize="21600,21600" o:gfxdata="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ufQic9kAAAAMAQAADwAAAAAAAAABACAAAAA4&#10;AAAAZHJzL2Rvd25yZXYueG1sUEsBAhQAFAAAAAgAh07iQCNW9Su6AQAAcgMAAA4AAAAAAAAAAQAg&#10;AAAAPgEAAGRycy9lMm9Eb2MueG1sUEsFBgAAAAAGAAYAWQEAAGoFAAAAAA==&#10;">
                <v:path/>
                <v:fill on="f" focussize="0,0"/>
                <v:stroke on="f"/>
                <v:imagedata o:title=""/>
                <o:lock v:ext="edit" grouping="f" rotation="f" text="f" aspectratio="f"/>
                <v:textbox inset="0mm,0mm,0mm,0mm">
                  <w:txbxContent>
                    <w:p>
                      <w:pPr>
                        <w:spacing w:line="560" w:lineRule="exact"/>
                        <w:ind w:left="839" w:hanging="839"/>
                        <w:rPr>
                          <w:rFonts w:ascii="仿宋_GB2312" w:eastAsia="仿宋_GB2312"/>
                          <w:sz w:val="28"/>
                        </w:rPr>
                      </w:pPr>
                      <w:r>
                        <w:rPr>
                          <w:rFonts w:hint="eastAsia" w:ascii="仿宋_GB2312" w:eastAsia="仿宋_GB2312"/>
                          <w:sz w:val="28"/>
                        </w:rPr>
                        <w:t>抄送：</w:t>
                      </w:r>
                      <w:r>
                        <w:rPr>
                          <w:rFonts w:hint="eastAsia" w:ascii="仿宋_GB2312" w:hAnsi="宋体" w:eastAsia="仿宋_GB2312"/>
                          <w:sz w:val="28"/>
                          <w:szCs w:val="32"/>
                        </w:rPr>
                        <w:t>市人大常委会办公室，市政协办公室，市委政研室，市社工委，市气象局，国家统计局佛山调查队</w:t>
                      </w:r>
                      <w:r>
                        <w:rPr>
                          <w:rFonts w:hint="eastAsia" w:ascii="仿宋_GB2312" w:eastAsia="仿宋_GB2312"/>
                          <w:sz w:val="28"/>
                        </w:rPr>
                        <w:t>。</w:t>
                      </w:r>
                    </w:p>
                    <w:p>
                      <w:pPr>
                        <w:rPr>
                          <w:rFonts w:hint="eastAsia" w:ascii="仿宋_GB2312" w:eastAsia="仿宋_GB2312"/>
                          <w:sz w:val="32"/>
                        </w:rPr>
                      </w:pPr>
                    </w:p>
                    <w:p>
                      <w:pPr>
                        <w:ind w:left="994" w:hanging="994"/>
                        <w:rPr>
                          <w:rFonts w:ascii="仿宋_GB2312" w:eastAsia="仿宋_GB2312"/>
                          <w:sz w:val="32"/>
                        </w:rPr>
                      </w:pPr>
                    </w:p>
                  </w:txbxContent>
                </v:textbox>
                <w10:wrap type="topAndBottom"/>
              </v:shape>
            </w:pict>
          </mc:Fallback>
        </mc:AlternateContent>
      </w:r>
    </w:p>
    <w:p/>
    <w:sectPr>
      <w:footerReference r:id="rId5" w:type="first"/>
      <w:pgSz w:w="11906" w:h="16838"/>
      <w:pgMar w:top="2098" w:right="1474" w:bottom="1985" w:left="1588"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6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21" w:h="357" w:hRule="exact" w:wrap="around" w:vAnchor="page" w:hAnchor="page" w:x="9147" w:y="15083"/>
      <w:rPr>
        <w:rStyle w:val="5"/>
        <w:rFonts w:hint="eastAsia" w:ascii="宋体" w:hAnsi="宋体"/>
        <w:sz w:val="28"/>
      </w:rPr>
    </w:pPr>
    <w:r>
      <w:rPr>
        <w:rStyle w:val="5"/>
        <w:rFonts w:hint="eastAsia" w:ascii="宋体" w:hAnsi="宋体"/>
        <w:sz w:val="28"/>
      </w:rPr>
      <w:t>—</w:t>
    </w:r>
    <w:r>
      <w:rPr>
        <w:rStyle w:val="5"/>
        <w:rFonts w:ascii="宋体" w:hAnsi="宋体"/>
        <w:sz w:val="28"/>
      </w:rPr>
      <w:t xml:space="preserve"> </w:t>
    </w:r>
    <w:r>
      <w:rPr>
        <w:rFonts w:ascii="宋体" w:hAnsi="宋体"/>
        <w:sz w:val="28"/>
      </w:rPr>
      <w:fldChar w:fldCharType="begin"/>
    </w:r>
    <w:r>
      <w:rPr>
        <w:rStyle w:val="5"/>
        <w:rFonts w:ascii="宋体" w:hAnsi="宋体"/>
        <w:sz w:val="28"/>
      </w:rPr>
      <w:instrText xml:space="preserve">PAGE  </w:instrText>
    </w:r>
    <w:r>
      <w:rPr>
        <w:rFonts w:ascii="宋体" w:hAnsi="宋体"/>
        <w:sz w:val="28"/>
      </w:rPr>
      <w:fldChar w:fldCharType="separate"/>
    </w:r>
    <w:r>
      <w:rPr>
        <w:rStyle w:val="5"/>
        <w:rFonts w:ascii="宋体" w:hAnsi="宋体"/>
        <w:sz w:val="28"/>
      </w:rPr>
      <w:t>19</w:t>
    </w:r>
    <w:r>
      <w:rPr>
        <w:rFonts w:ascii="宋体" w:hAnsi="宋体"/>
        <w:sz w:val="28"/>
      </w:rPr>
      <w:fldChar w:fldCharType="end"/>
    </w:r>
    <w:r>
      <w:rPr>
        <w:rStyle w:val="5"/>
        <w:rFonts w:ascii="宋体" w:hAnsi="宋体"/>
        <w:sz w:val="28"/>
      </w:rPr>
      <w:t xml:space="preserve"> </w:t>
    </w:r>
    <w:r>
      <w:rPr>
        <w:rStyle w:val="5"/>
        <w:rFonts w:hint="eastAsia" w:ascii="宋体" w:hAnsi="宋体"/>
        <w:sz w:val="28"/>
      </w:rPr>
      <w:t>—</w:t>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21" w:h="357" w:hRule="exact" w:wrap="around" w:vAnchor="page" w:hAnchor="page" w:x="1849" w:y="15083"/>
      <w:rPr>
        <w:rStyle w:val="5"/>
        <w:rFonts w:hint="eastAsia" w:ascii="宋体" w:hAnsi="宋体"/>
        <w:sz w:val="28"/>
      </w:rPr>
    </w:pPr>
    <w:r>
      <w:rPr>
        <w:rStyle w:val="5"/>
        <w:rFonts w:hint="eastAsia" w:ascii="宋体" w:hAnsi="宋体"/>
        <w:sz w:val="28"/>
      </w:rPr>
      <w:t>—</w:t>
    </w:r>
    <w:r>
      <w:rPr>
        <w:rStyle w:val="5"/>
        <w:rFonts w:ascii="宋体" w:hAnsi="宋体"/>
        <w:sz w:val="28"/>
      </w:rPr>
      <w:t xml:space="preserve"> </w:t>
    </w:r>
    <w:r>
      <w:rPr>
        <w:rFonts w:ascii="宋体" w:hAnsi="宋体"/>
        <w:sz w:val="28"/>
      </w:rPr>
      <w:fldChar w:fldCharType="begin"/>
    </w:r>
    <w:r>
      <w:rPr>
        <w:rStyle w:val="5"/>
        <w:rFonts w:ascii="宋体" w:hAnsi="宋体"/>
        <w:sz w:val="28"/>
      </w:rPr>
      <w:instrText xml:space="preserve">PAGE  </w:instrText>
    </w:r>
    <w:r>
      <w:rPr>
        <w:rFonts w:ascii="宋体" w:hAnsi="宋体"/>
        <w:sz w:val="28"/>
      </w:rPr>
      <w:fldChar w:fldCharType="separate"/>
    </w:r>
    <w:r>
      <w:rPr>
        <w:rStyle w:val="5"/>
        <w:rFonts w:ascii="宋体" w:hAnsi="宋体"/>
        <w:sz w:val="28"/>
      </w:rPr>
      <w:t>2</w:t>
    </w:r>
    <w:r>
      <w:rPr>
        <w:rFonts w:ascii="宋体" w:hAnsi="宋体"/>
        <w:sz w:val="28"/>
      </w:rPr>
      <w:fldChar w:fldCharType="end"/>
    </w:r>
    <w:r>
      <w:rPr>
        <w:rStyle w:val="5"/>
        <w:rFonts w:ascii="宋体" w:hAnsi="宋体"/>
        <w:sz w:val="28"/>
      </w:rPr>
      <w:t xml:space="preserve"> </w:t>
    </w:r>
    <w:r>
      <w:rPr>
        <w:rStyle w:val="5"/>
        <w:rFonts w:hint="eastAsia" w:ascii="宋体" w:hAnsi="宋体"/>
        <w:sz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BF5058"/>
    <w:rsid w:val="DBBF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2023-08-22T09:14:00Z</dcterms:created>
  <dc:creator>thtf</dc:creator>
  <cp:lastModifiedBy>thtf</cp:lastModifiedBy>
  <dcterms:modified xsi:type="dcterms:W3CDTF">2023-08-22T09:16:06Z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