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left="0" w:leftChars="0" w:right="0" w:rightChars="0" w:firstLine="0" w:firstLineChars="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广东省佛山市发展和改革局</w:t>
      </w:r>
    </w:p>
    <w:p>
      <w:pPr>
        <w:ind w:left="0" w:leftChars="0" w:right="0" w:rightChars="0" w:firstLine="0" w:firstLineChars="0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行政审批前公示意见反馈表</w:t>
      </w:r>
    </w:p>
    <w:p>
      <w:pPr>
        <w:rPr>
          <w:rFonts w:hint="eastAsia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对应行政审批事项（按公示的事项名称填写）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2"/>
                <w:szCs w:val="32"/>
              </w:rPr>
              <w:t>广珠铁路官窑货场物流园（一期）一期路网-环站路工程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反馈人的信息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性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4261" w:type="dxa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邮  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ind w:firstLine="160" w:firstLineChars="50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联系地址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反馈意见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（可附页）</w:t>
            </w: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outlineLvl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说明：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1、上表信息必须完整、如实填写，以便我局正确查找到有关公示事项和需要时联系意见反馈人。如果由于反馈者填写信息不准确，导致无法及时联系反馈者的，该反馈意见视为无效意见，不予采纳。</w:t>
            </w:r>
          </w:p>
          <w:p>
            <w:pPr>
              <w:widowControl/>
              <w:tabs>
                <w:tab w:val="left" w:pos="972"/>
                <w:tab w:val="left" w:pos="1182"/>
                <w:tab w:val="left" w:pos="1347"/>
                <w:tab w:val="left" w:pos="1812"/>
              </w:tabs>
              <w:ind w:firstLine="480" w:firstLineChars="200"/>
              <w:jc w:val="left"/>
              <w:outlineLvl w:val="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2、反馈意见须在公示期内按照公示提供的联系方式向我局提出。</w:t>
            </w:r>
          </w:p>
          <w:p>
            <w:pPr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3、对于申请听证的，我局将根据反馈意见情况依法确定是否需要举行听证。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084D"/>
    <w:rsid w:val="225C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2021-03-09T00:38:00Z</dcterms:created>
  <dc:creator>王甜甜</dc:creator>
  <cp:lastModifiedBy>王甜甜</cp:lastModifiedBy>
  <dcterms:modified xsi:type="dcterms:W3CDTF">2021-03-09T00:38:47Z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